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95" w:rsidRDefault="00214628" w:rsidP="00214628">
      <w:pPr>
        <w:autoSpaceDE w:val="0"/>
        <w:autoSpaceDN w:val="0"/>
        <w:adjustRightInd w:val="0"/>
        <w:spacing w:after="0" w:line="240" w:lineRule="auto"/>
        <w:rPr>
          <w:rFonts w:ascii="LinotypeErgo-DemiBold" w:hAnsi="LinotypeErgo-DemiBold" w:cs="LinotypeErgo-DemiBold"/>
          <w:b/>
          <w:bCs/>
          <w:sz w:val="26"/>
          <w:szCs w:val="26"/>
        </w:rPr>
      </w:pPr>
      <w:r>
        <w:rPr>
          <w:rFonts w:ascii="LinotypeErgo-DemiBold" w:hAnsi="LinotypeErgo-DemiBold" w:cs="LinotypeErgo-DemiBold"/>
          <w:b/>
          <w:bCs/>
          <w:sz w:val="26"/>
          <w:szCs w:val="26"/>
        </w:rPr>
        <w:t>NOTICE OF PUBLIC HEARING</w:t>
      </w:r>
      <w:r w:rsidR="00B95A95">
        <w:rPr>
          <w:rFonts w:ascii="LinotypeErgo-DemiBold" w:hAnsi="LinotypeErgo-DemiBold" w:cs="LinotypeErgo-DemiBold"/>
          <w:b/>
          <w:bCs/>
          <w:sz w:val="26"/>
          <w:szCs w:val="26"/>
        </w:rPr>
        <w:t xml:space="preserve"> </w:t>
      </w:r>
    </w:p>
    <w:p w:rsidR="00B95A95" w:rsidRDefault="00B95A95" w:rsidP="00214628">
      <w:pPr>
        <w:autoSpaceDE w:val="0"/>
        <w:autoSpaceDN w:val="0"/>
        <w:adjustRightInd w:val="0"/>
        <w:spacing w:after="0" w:line="240" w:lineRule="auto"/>
        <w:rPr>
          <w:rFonts w:ascii="LinotypeErgo-DemiBold" w:hAnsi="LinotypeErgo-DemiBold" w:cs="LinotypeErgo-DemiBold"/>
          <w:b/>
          <w:bCs/>
          <w:sz w:val="26"/>
          <w:szCs w:val="26"/>
        </w:rPr>
      </w:pPr>
    </w:p>
    <w:p w:rsidR="00214628" w:rsidRDefault="00B95A95" w:rsidP="00214628">
      <w:pPr>
        <w:autoSpaceDE w:val="0"/>
        <w:autoSpaceDN w:val="0"/>
        <w:adjustRightInd w:val="0"/>
        <w:spacing w:after="0" w:line="240" w:lineRule="auto"/>
        <w:rPr>
          <w:rFonts w:ascii="LinotypeErgo-DemiBold" w:hAnsi="LinotypeErgo-DemiBold" w:cs="LinotypeErgo-DemiBold"/>
          <w:b/>
          <w:bCs/>
          <w:sz w:val="26"/>
          <w:szCs w:val="26"/>
        </w:rPr>
      </w:pPr>
      <w:r>
        <w:rPr>
          <w:rFonts w:ascii="LinotypeErgo-DemiBold" w:hAnsi="LinotypeErgo-DemiBold" w:cs="LinotypeErgo-DemiBold"/>
          <w:b/>
          <w:bCs/>
          <w:sz w:val="26"/>
          <w:szCs w:val="26"/>
        </w:rPr>
        <w:t>Deze Energy Corporation Ta</w:t>
      </w:r>
      <w:r w:rsidR="00CD7A99">
        <w:rPr>
          <w:rFonts w:ascii="LinotypeErgo-DemiBold" w:hAnsi="LinotypeErgo-DemiBold" w:cs="LinotypeErgo-DemiBold"/>
          <w:b/>
          <w:bCs/>
          <w:sz w:val="26"/>
          <w:szCs w:val="26"/>
        </w:rPr>
        <w:t>lts</w:t>
      </w:r>
      <w:r>
        <w:rPr>
          <w:rFonts w:ascii="LinotypeErgo-DemiBold" w:hAnsi="LinotypeErgo-DemiBold" w:cs="LinotypeErgo-DemiBold"/>
          <w:b/>
          <w:bCs/>
          <w:sz w:val="26"/>
          <w:szCs w:val="26"/>
        </w:rPr>
        <w:t xml:space="preserve">on </w:t>
      </w:r>
      <w:r w:rsidR="00CB116F">
        <w:rPr>
          <w:rFonts w:ascii="LinotypeErgo-DemiBold" w:hAnsi="LinotypeErgo-DemiBold" w:cs="LinotypeErgo-DemiBold"/>
          <w:b/>
          <w:bCs/>
          <w:sz w:val="26"/>
          <w:szCs w:val="26"/>
        </w:rPr>
        <w:t xml:space="preserve">Hydroelectric </w:t>
      </w:r>
      <w:r>
        <w:rPr>
          <w:rFonts w:ascii="LinotypeErgo-DemiBold" w:hAnsi="LinotypeErgo-DemiBold" w:cs="LinotypeErgo-DemiBold"/>
          <w:b/>
          <w:bCs/>
          <w:sz w:val="26"/>
          <w:szCs w:val="26"/>
        </w:rPr>
        <w:t>Expansion Project</w:t>
      </w:r>
    </w:p>
    <w:p w:rsidR="00214628" w:rsidRDefault="00214628" w:rsidP="00214628">
      <w:pPr>
        <w:autoSpaceDE w:val="0"/>
        <w:autoSpaceDN w:val="0"/>
        <w:adjustRightInd w:val="0"/>
        <w:spacing w:after="0" w:line="240" w:lineRule="auto"/>
        <w:rPr>
          <w:rFonts w:ascii="LinotypeErgo-DemiBold" w:hAnsi="LinotypeErgo-DemiBold" w:cs="LinotypeErgo-DemiBold"/>
          <w:b/>
          <w:bCs/>
          <w:sz w:val="26"/>
          <w:szCs w:val="26"/>
        </w:rPr>
      </w:pPr>
    </w:p>
    <w:p w:rsidR="00B95A95" w:rsidRDefault="00B95A95" w:rsidP="00B95A95">
      <w:pPr>
        <w:autoSpaceDE w:val="0"/>
        <w:autoSpaceDN w:val="0"/>
        <w:adjustRightInd w:val="0"/>
        <w:spacing w:after="0" w:line="240" w:lineRule="auto"/>
        <w:rPr>
          <w:rFonts w:ascii="ACaslonPro-Regular" w:hAnsi="ACaslonPro-Regular" w:cs="ACaslonPro-Regular"/>
          <w:sz w:val="19"/>
          <w:szCs w:val="19"/>
        </w:rPr>
      </w:pPr>
      <w:r>
        <w:rPr>
          <w:rFonts w:ascii="ACaslonPro-Regular" w:hAnsi="ACaslonPro-Regular" w:cs="ACaslonPro-Regular"/>
          <w:sz w:val="19"/>
          <w:szCs w:val="19"/>
        </w:rPr>
        <w:t>The</w:t>
      </w:r>
      <w:r w:rsidR="00214628">
        <w:rPr>
          <w:rFonts w:ascii="ACaslonPro-Regular" w:hAnsi="ACaslonPro-Regular" w:cs="ACaslonPro-Regular"/>
          <w:sz w:val="19"/>
          <w:szCs w:val="19"/>
        </w:rPr>
        <w:t xml:space="preserve"> Mackenzie Valley Environmental Impact Review</w:t>
      </w:r>
      <w:r>
        <w:rPr>
          <w:rFonts w:ascii="ACaslonPro-Regular" w:hAnsi="ACaslonPro-Regular" w:cs="ACaslonPro-Regular"/>
          <w:sz w:val="19"/>
          <w:szCs w:val="19"/>
        </w:rPr>
        <w:t xml:space="preserve"> </w:t>
      </w:r>
      <w:r w:rsidR="00214628">
        <w:rPr>
          <w:rFonts w:ascii="ACaslonPro-Regular" w:hAnsi="ACaslonPro-Regular" w:cs="ACaslonPro-Regular"/>
          <w:sz w:val="19"/>
          <w:szCs w:val="19"/>
        </w:rPr>
        <w:t xml:space="preserve">Board (Review Board) </w:t>
      </w:r>
      <w:r>
        <w:rPr>
          <w:rFonts w:ascii="ACaslonPro-Regular" w:hAnsi="ACaslonPro-Regular" w:cs="ACaslonPro-Regular"/>
          <w:sz w:val="19"/>
          <w:szCs w:val="19"/>
        </w:rPr>
        <w:t>will hold public hearings in Dettah on Thursday, January 14</w:t>
      </w:r>
      <w:r>
        <w:rPr>
          <w:rFonts w:ascii="ACaslonPro-Regular" w:hAnsi="ACaslonPro-Regular" w:cs="ACaslonPro-Regular"/>
          <w:sz w:val="11"/>
          <w:szCs w:val="11"/>
        </w:rPr>
        <w:t xml:space="preserve"> </w:t>
      </w:r>
      <w:r>
        <w:rPr>
          <w:rFonts w:ascii="ACaslonPro-Regular" w:hAnsi="ACaslonPro-Regular" w:cs="ACaslonPro-Regular"/>
          <w:sz w:val="19"/>
          <w:szCs w:val="19"/>
        </w:rPr>
        <w:t>and Friday, January 15</w:t>
      </w:r>
      <w:r>
        <w:rPr>
          <w:rFonts w:ascii="ACaslonPro-Regular" w:hAnsi="ACaslonPro-Regular" w:cs="ACaslonPro-Regular"/>
          <w:sz w:val="11"/>
          <w:szCs w:val="11"/>
        </w:rPr>
        <w:t xml:space="preserve">, </w:t>
      </w:r>
      <w:r>
        <w:rPr>
          <w:rFonts w:ascii="ACaslonPro-Regular" w:hAnsi="ACaslonPro-Regular" w:cs="ACaslonPro-Regular"/>
          <w:sz w:val="19"/>
          <w:szCs w:val="19"/>
        </w:rPr>
        <w:t xml:space="preserve">2010 for the Deze Energy Corporation Ltd’s proposed Taltson Hydroelectric Expansion Project. </w:t>
      </w:r>
      <w:r w:rsidR="00803754">
        <w:rPr>
          <w:rFonts w:ascii="ACaslonPro-Regular" w:hAnsi="ACaslonPro-Regular" w:cs="ACaslonPro-Regular"/>
          <w:sz w:val="19"/>
          <w:szCs w:val="19"/>
        </w:rPr>
        <w:t xml:space="preserve">Deze Energy </w:t>
      </w:r>
      <w:r>
        <w:rPr>
          <w:rFonts w:ascii="ACaslonPro-Regular" w:hAnsi="ACaslonPro-Regular" w:cs="ACaslonPro-Regular"/>
          <w:sz w:val="19"/>
          <w:szCs w:val="19"/>
        </w:rPr>
        <w:t>proposes to add 36 megawatts of power generating capacity to the Taltson Twin Gorges Plant and includes a 690-kilometre transmission line to the diamond mines.</w:t>
      </w:r>
    </w:p>
    <w:p w:rsidR="00803754" w:rsidRDefault="00803754" w:rsidP="00B95A95">
      <w:pPr>
        <w:autoSpaceDE w:val="0"/>
        <w:autoSpaceDN w:val="0"/>
        <w:adjustRightInd w:val="0"/>
        <w:spacing w:after="0" w:line="240" w:lineRule="auto"/>
        <w:rPr>
          <w:rFonts w:ascii="ACaslonPro-Regular" w:hAnsi="ACaslonPro-Regular" w:cs="ACaslonPro-Regular"/>
          <w:sz w:val="19"/>
          <w:szCs w:val="19"/>
        </w:rPr>
      </w:pPr>
    </w:p>
    <w:p w:rsidR="00B95A95" w:rsidRDefault="00B95A95" w:rsidP="00B95A95">
      <w:pPr>
        <w:autoSpaceDE w:val="0"/>
        <w:autoSpaceDN w:val="0"/>
        <w:adjustRightInd w:val="0"/>
        <w:spacing w:after="0" w:line="240" w:lineRule="auto"/>
        <w:rPr>
          <w:rFonts w:ascii="ACaslonPro-Regular" w:hAnsi="ACaslonPro-Regular" w:cs="ACaslonPro-Regular"/>
          <w:sz w:val="19"/>
          <w:szCs w:val="19"/>
        </w:rPr>
      </w:pPr>
      <w:r>
        <w:rPr>
          <w:rFonts w:ascii="ACaslonPro-Regular" w:hAnsi="ACaslonPro-Regular" w:cs="ACaslonPro-Regular"/>
          <w:sz w:val="19"/>
          <w:szCs w:val="19"/>
        </w:rPr>
        <w:t>The Review Board is conducting an environmental assessment of this proposed development and would like to hear any evidence from the parties as well as the views of the public about the proposed development’s impacts on the environment and on the social, cultural and economic well being of the residents of the Mackenzie Valley.</w:t>
      </w:r>
    </w:p>
    <w:p w:rsidR="00B95A95" w:rsidRDefault="00B95A95" w:rsidP="00214628">
      <w:pPr>
        <w:autoSpaceDE w:val="0"/>
        <w:autoSpaceDN w:val="0"/>
        <w:adjustRightInd w:val="0"/>
        <w:spacing w:after="0" w:line="240" w:lineRule="auto"/>
        <w:rPr>
          <w:rFonts w:ascii="ACaslonPro-Regular" w:hAnsi="ACaslonPro-Regular" w:cs="ACaslonPro-Regular"/>
          <w:sz w:val="19"/>
          <w:szCs w:val="19"/>
        </w:rPr>
      </w:pPr>
    </w:p>
    <w:p w:rsidR="00214628" w:rsidRDefault="00214628" w:rsidP="00214628">
      <w:pPr>
        <w:autoSpaceDE w:val="0"/>
        <w:autoSpaceDN w:val="0"/>
        <w:adjustRightInd w:val="0"/>
        <w:spacing w:after="0" w:line="240" w:lineRule="auto"/>
        <w:rPr>
          <w:rFonts w:ascii="ACaslonPro-Regular" w:hAnsi="ACaslonPro-Regular" w:cs="ACaslonPro-Regular"/>
          <w:sz w:val="19"/>
          <w:szCs w:val="19"/>
        </w:rPr>
      </w:pPr>
      <w:r>
        <w:rPr>
          <w:rFonts w:ascii="ACaslonPro-Regular" w:hAnsi="ACaslonPro-Regular" w:cs="ACaslonPro-Regular"/>
          <w:sz w:val="19"/>
          <w:szCs w:val="19"/>
        </w:rPr>
        <w:t>.</w:t>
      </w:r>
      <w:r>
        <w:rPr>
          <w:rFonts w:ascii="ACaslonPro-Bold" w:hAnsi="ACaslonPro-Bold" w:cs="ACaslonPro-Bold"/>
          <w:b/>
          <w:bCs/>
          <w:sz w:val="19"/>
          <w:szCs w:val="19"/>
        </w:rPr>
        <w:t xml:space="preserve">Hearing Location: </w:t>
      </w:r>
      <w:r w:rsidR="00803754">
        <w:rPr>
          <w:rFonts w:ascii="ACaslonPro-Regular" w:hAnsi="ACaslonPro-Regular" w:cs="ACaslonPro-Regular"/>
          <w:sz w:val="19"/>
          <w:szCs w:val="19"/>
        </w:rPr>
        <w:t xml:space="preserve">Chief Drygeese Conference Centre, </w:t>
      </w:r>
      <w:r>
        <w:rPr>
          <w:rFonts w:ascii="ACaslonPro-Regular" w:hAnsi="ACaslonPro-Regular" w:cs="ACaslonPro-Regular"/>
          <w:sz w:val="19"/>
          <w:szCs w:val="19"/>
        </w:rPr>
        <w:t>Dettah</w:t>
      </w:r>
    </w:p>
    <w:p w:rsidR="00214628" w:rsidRDefault="00214628" w:rsidP="00214628">
      <w:pPr>
        <w:autoSpaceDE w:val="0"/>
        <w:autoSpaceDN w:val="0"/>
        <w:adjustRightInd w:val="0"/>
        <w:spacing w:after="0" w:line="240" w:lineRule="auto"/>
        <w:rPr>
          <w:rFonts w:ascii="ACaslonPro-Regular" w:hAnsi="ACaslonPro-Regular" w:cs="ACaslonPro-Regular"/>
          <w:sz w:val="19"/>
          <w:szCs w:val="19"/>
        </w:rPr>
      </w:pPr>
      <w:r>
        <w:rPr>
          <w:rFonts w:ascii="ACaslonPro-Bold" w:hAnsi="ACaslonPro-Bold" w:cs="ACaslonPro-Bold"/>
          <w:b/>
          <w:bCs/>
          <w:sz w:val="19"/>
          <w:szCs w:val="19"/>
        </w:rPr>
        <w:t xml:space="preserve">Date: </w:t>
      </w:r>
      <w:r w:rsidR="00B95A95">
        <w:rPr>
          <w:rFonts w:ascii="ACaslonPro-Regular" w:hAnsi="ACaslonPro-Regular" w:cs="ACaslonPro-Regular"/>
          <w:sz w:val="19"/>
          <w:szCs w:val="19"/>
        </w:rPr>
        <w:t>Th</w:t>
      </w:r>
      <w:r>
        <w:rPr>
          <w:rFonts w:ascii="ACaslonPro-Regular" w:hAnsi="ACaslonPro-Regular" w:cs="ACaslonPro-Regular"/>
          <w:sz w:val="19"/>
          <w:szCs w:val="19"/>
        </w:rPr>
        <w:t>ursday, January 14</w:t>
      </w:r>
      <w:r>
        <w:rPr>
          <w:rFonts w:ascii="ACaslonPro-Regular" w:hAnsi="ACaslonPro-Regular" w:cs="ACaslonPro-Regular"/>
          <w:sz w:val="11"/>
          <w:szCs w:val="11"/>
        </w:rPr>
        <w:t xml:space="preserve"> </w:t>
      </w:r>
      <w:r>
        <w:rPr>
          <w:rFonts w:ascii="ACaslonPro-Regular" w:hAnsi="ACaslonPro-Regular" w:cs="ACaslonPro-Regular"/>
          <w:sz w:val="19"/>
          <w:szCs w:val="19"/>
        </w:rPr>
        <w:t>and Friday</w:t>
      </w:r>
      <w:r w:rsidR="00B95A95">
        <w:rPr>
          <w:rFonts w:ascii="ACaslonPro-Regular" w:hAnsi="ACaslonPro-Regular" w:cs="ACaslonPro-Regular"/>
          <w:sz w:val="19"/>
          <w:szCs w:val="19"/>
        </w:rPr>
        <w:t xml:space="preserve">, </w:t>
      </w:r>
      <w:r>
        <w:rPr>
          <w:rFonts w:ascii="ACaslonPro-Regular" w:hAnsi="ACaslonPro-Regular" w:cs="ACaslonPro-Regular"/>
          <w:sz w:val="19"/>
          <w:szCs w:val="19"/>
        </w:rPr>
        <w:t>January 1</w:t>
      </w:r>
      <w:r w:rsidR="00803754">
        <w:rPr>
          <w:rFonts w:ascii="ACaslonPro-Regular" w:hAnsi="ACaslonPro-Regular" w:cs="ACaslonPro-Regular"/>
          <w:sz w:val="19"/>
          <w:szCs w:val="19"/>
        </w:rPr>
        <w:t>5, 2010</w:t>
      </w:r>
    </w:p>
    <w:p w:rsidR="00214628" w:rsidRDefault="00214628" w:rsidP="00214628">
      <w:pPr>
        <w:autoSpaceDE w:val="0"/>
        <w:autoSpaceDN w:val="0"/>
        <w:adjustRightInd w:val="0"/>
        <w:spacing w:after="0" w:line="240" w:lineRule="auto"/>
        <w:rPr>
          <w:rFonts w:ascii="ACaslonPro-Regular" w:hAnsi="ACaslonPro-Regular" w:cs="ACaslonPro-Regular"/>
          <w:sz w:val="19"/>
          <w:szCs w:val="19"/>
        </w:rPr>
      </w:pPr>
      <w:r>
        <w:rPr>
          <w:rFonts w:ascii="ACaslonPro-Bold" w:hAnsi="ACaslonPro-Bold" w:cs="ACaslonPro-Bold"/>
          <w:b/>
          <w:bCs/>
          <w:sz w:val="19"/>
          <w:szCs w:val="19"/>
        </w:rPr>
        <w:t xml:space="preserve">Duration: </w:t>
      </w:r>
      <w:r>
        <w:rPr>
          <w:rFonts w:ascii="ACaslonPro-Regular" w:hAnsi="ACaslonPro-Regular" w:cs="ACaslonPro-Regular"/>
          <w:sz w:val="19"/>
          <w:szCs w:val="19"/>
        </w:rPr>
        <w:t>9:</w:t>
      </w:r>
      <w:r w:rsidR="00B95A95">
        <w:rPr>
          <w:rFonts w:ascii="ACaslonPro-Regular" w:hAnsi="ACaslonPro-Regular" w:cs="ACaslonPro-Regular"/>
          <w:sz w:val="19"/>
          <w:szCs w:val="19"/>
        </w:rPr>
        <w:t>0</w:t>
      </w:r>
      <w:r>
        <w:rPr>
          <w:rFonts w:ascii="ACaslonPro-Regular" w:hAnsi="ACaslonPro-Regular" w:cs="ACaslonPro-Regular"/>
          <w:sz w:val="19"/>
          <w:szCs w:val="19"/>
        </w:rPr>
        <w:t>0 am – 7 pm</w:t>
      </w:r>
      <w:r w:rsidR="00803754">
        <w:rPr>
          <w:rFonts w:ascii="ACaslonPro-Regular" w:hAnsi="ACaslonPro-Regular" w:cs="ACaslonPro-Regular"/>
          <w:sz w:val="19"/>
          <w:szCs w:val="19"/>
        </w:rPr>
        <w:t xml:space="preserve">, </w:t>
      </w:r>
      <w:r>
        <w:rPr>
          <w:rFonts w:ascii="ACaslonPro-Regular" w:hAnsi="ACaslonPro-Regular" w:cs="ACaslonPro-Regular"/>
          <w:sz w:val="19"/>
          <w:szCs w:val="19"/>
        </w:rPr>
        <w:t>or longer if necessary</w:t>
      </w:r>
    </w:p>
    <w:p w:rsidR="00B95A95" w:rsidRDefault="00B95A95" w:rsidP="00214628">
      <w:pPr>
        <w:autoSpaceDE w:val="0"/>
        <w:autoSpaceDN w:val="0"/>
        <w:adjustRightInd w:val="0"/>
        <w:spacing w:after="0" w:line="240" w:lineRule="auto"/>
        <w:rPr>
          <w:rFonts w:ascii="LinotypeErgo-DemiBold" w:hAnsi="LinotypeErgo-DemiBold" w:cs="LinotypeErgo-DemiBold"/>
          <w:b/>
          <w:bCs/>
          <w:sz w:val="19"/>
          <w:szCs w:val="19"/>
        </w:rPr>
      </w:pPr>
    </w:p>
    <w:p w:rsidR="00214628" w:rsidRDefault="00214628" w:rsidP="00214628">
      <w:pPr>
        <w:autoSpaceDE w:val="0"/>
        <w:autoSpaceDN w:val="0"/>
        <w:adjustRightInd w:val="0"/>
        <w:spacing w:after="0" w:line="240" w:lineRule="auto"/>
        <w:rPr>
          <w:rFonts w:ascii="LinotypeErgo-DemiBold" w:hAnsi="LinotypeErgo-DemiBold" w:cs="LinotypeErgo-DemiBold"/>
          <w:b/>
          <w:bCs/>
          <w:sz w:val="19"/>
          <w:szCs w:val="19"/>
        </w:rPr>
      </w:pPr>
      <w:r>
        <w:rPr>
          <w:rFonts w:ascii="LinotypeErgo-DemiBold" w:hAnsi="LinotypeErgo-DemiBold" w:cs="LinotypeErgo-DemiBold"/>
          <w:b/>
          <w:bCs/>
          <w:sz w:val="19"/>
          <w:szCs w:val="19"/>
        </w:rPr>
        <w:t>Requests to make a presentation:</w:t>
      </w:r>
    </w:p>
    <w:p w:rsidR="00B95A95" w:rsidRDefault="00B95A95" w:rsidP="00214628">
      <w:pPr>
        <w:autoSpaceDE w:val="0"/>
        <w:autoSpaceDN w:val="0"/>
        <w:adjustRightInd w:val="0"/>
        <w:spacing w:after="0" w:line="240" w:lineRule="auto"/>
        <w:rPr>
          <w:rFonts w:ascii="ACaslonPro-Regular" w:hAnsi="ACaslonPro-Regular" w:cs="ACaslonPro-Regular"/>
          <w:sz w:val="19"/>
          <w:szCs w:val="19"/>
        </w:rPr>
      </w:pPr>
    </w:p>
    <w:p w:rsidR="00214628" w:rsidRDefault="00214628" w:rsidP="00214628">
      <w:pPr>
        <w:autoSpaceDE w:val="0"/>
        <w:autoSpaceDN w:val="0"/>
        <w:adjustRightInd w:val="0"/>
        <w:spacing w:after="0" w:line="240" w:lineRule="auto"/>
        <w:rPr>
          <w:rFonts w:ascii="ACaslonPro-Regular" w:hAnsi="ACaslonPro-Regular" w:cs="ACaslonPro-Regular"/>
          <w:sz w:val="19"/>
          <w:szCs w:val="19"/>
        </w:rPr>
      </w:pPr>
      <w:r>
        <w:rPr>
          <w:rFonts w:ascii="ACaslonPro-Regular" w:hAnsi="ACaslonPro-Regular" w:cs="ACaslonPro-Regular"/>
          <w:sz w:val="19"/>
          <w:szCs w:val="19"/>
        </w:rPr>
        <w:t>Please contact the Review Board as soon as possible</w:t>
      </w:r>
      <w:r w:rsidR="00B95A95">
        <w:rPr>
          <w:rFonts w:ascii="ACaslonPro-Regular" w:hAnsi="ACaslonPro-Regular" w:cs="ACaslonPro-Regular"/>
          <w:sz w:val="19"/>
          <w:szCs w:val="19"/>
        </w:rPr>
        <w:t xml:space="preserve"> </w:t>
      </w:r>
      <w:r>
        <w:rPr>
          <w:rFonts w:ascii="ACaslonPro-Regular" w:hAnsi="ACaslonPro-Regular" w:cs="ACaslonPro-Regular"/>
          <w:sz w:val="19"/>
          <w:szCs w:val="19"/>
        </w:rPr>
        <w:t>if you wish to make a formal presentation at the</w:t>
      </w:r>
      <w:r w:rsidR="00B95A95">
        <w:rPr>
          <w:rFonts w:ascii="ACaslonPro-Regular" w:hAnsi="ACaslonPro-Regular" w:cs="ACaslonPro-Regular"/>
          <w:sz w:val="19"/>
          <w:szCs w:val="19"/>
        </w:rPr>
        <w:t xml:space="preserve"> </w:t>
      </w:r>
      <w:r>
        <w:rPr>
          <w:rFonts w:ascii="ACaslonPro-Regular" w:hAnsi="ACaslonPro-Regular" w:cs="ACaslonPro-Regular"/>
          <w:sz w:val="19"/>
          <w:szCs w:val="19"/>
        </w:rPr>
        <w:t>public hearing or if you require special assistance to</w:t>
      </w:r>
      <w:r w:rsidR="00B95A95">
        <w:rPr>
          <w:rFonts w:ascii="ACaslonPro-Regular" w:hAnsi="ACaslonPro-Regular" w:cs="ACaslonPro-Regular"/>
          <w:sz w:val="19"/>
          <w:szCs w:val="19"/>
        </w:rPr>
        <w:t xml:space="preserve"> </w:t>
      </w:r>
      <w:r>
        <w:rPr>
          <w:rFonts w:ascii="ACaslonPro-Regular" w:hAnsi="ACaslonPro-Regular" w:cs="ACaslonPro-Regular"/>
          <w:sz w:val="19"/>
          <w:szCs w:val="19"/>
        </w:rPr>
        <w:t>participate in the hearing.</w:t>
      </w:r>
    </w:p>
    <w:p w:rsidR="00B95A95" w:rsidRDefault="00B95A95" w:rsidP="00214628">
      <w:pPr>
        <w:autoSpaceDE w:val="0"/>
        <w:autoSpaceDN w:val="0"/>
        <w:adjustRightInd w:val="0"/>
        <w:spacing w:after="0" w:line="240" w:lineRule="auto"/>
        <w:rPr>
          <w:rFonts w:ascii="ACaslonPro-Regular" w:hAnsi="ACaslonPro-Regular" w:cs="ACaslonPro-Regular"/>
          <w:sz w:val="19"/>
          <w:szCs w:val="19"/>
        </w:rPr>
      </w:pPr>
    </w:p>
    <w:p w:rsidR="00214628" w:rsidRDefault="00B95A95" w:rsidP="00214628">
      <w:pPr>
        <w:autoSpaceDE w:val="0"/>
        <w:autoSpaceDN w:val="0"/>
        <w:adjustRightInd w:val="0"/>
        <w:spacing w:after="0" w:line="240" w:lineRule="auto"/>
        <w:rPr>
          <w:rFonts w:ascii="ACaslonPro-Bold" w:hAnsi="ACaslonPro-Bold" w:cs="ACaslonPro-Bold"/>
          <w:b/>
          <w:bCs/>
          <w:sz w:val="19"/>
          <w:szCs w:val="19"/>
        </w:rPr>
      </w:pPr>
      <w:r>
        <w:rPr>
          <w:rFonts w:ascii="ACaslonPro-Regular" w:hAnsi="ACaslonPro-Regular" w:cs="ACaslonPro-Regular"/>
          <w:sz w:val="19"/>
          <w:szCs w:val="19"/>
        </w:rPr>
        <w:t>The</w:t>
      </w:r>
      <w:r w:rsidR="00214628">
        <w:rPr>
          <w:rFonts w:ascii="ACaslonPro-Regular" w:hAnsi="ACaslonPro-Regular" w:cs="ACaslonPro-Regular"/>
          <w:sz w:val="19"/>
          <w:szCs w:val="19"/>
        </w:rPr>
        <w:t xml:space="preserve"> public hearing will </w:t>
      </w:r>
      <w:r w:rsidR="00803754">
        <w:rPr>
          <w:rFonts w:ascii="ACaslonPro-Regular" w:hAnsi="ACaslonPro-Regular" w:cs="ACaslonPro-Regular"/>
          <w:sz w:val="19"/>
          <w:szCs w:val="19"/>
        </w:rPr>
        <w:t xml:space="preserve">follow </w:t>
      </w:r>
      <w:r w:rsidR="00214628">
        <w:rPr>
          <w:rFonts w:ascii="ACaslonPro-Regular" w:hAnsi="ACaslonPro-Regular" w:cs="ACaslonPro-Regular"/>
          <w:sz w:val="19"/>
          <w:szCs w:val="19"/>
        </w:rPr>
        <w:t>the</w:t>
      </w:r>
      <w:r>
        <w:rPr>
          <w:rFonts w:ascii="ACaslonPro-Regular" w:hAnsi="ACaslonPro-Regular" w:cs="ACaslonPro-Regular"/>
          <w:sz w:val="19"/>
          <w:szCs w:val="19"/>
        </w:rPr>
        <w:t xml:space="preserve"> </w:t>
      </w:r>
      <w:r w:rsidR="00214628">
        <w:rPr>
          <w:rFonts w:ascii="ACaslonPro-Regular" w:hAnsi="ACaslonPro-Regular" w:cs="ACaslonPro-Regular"/>
          <w:sz w:val="19"/>
          <w:szCs w:val="19"/>
        </w:rPr>
        <w:t xml:space="preserve">Review Boards </w:t>
      </w:r>
      <w:r w:rsidR="00214628">
        <w:rPr>
          <w:rFonts w:ascii="ACaslonPro-Italic" w:hAnsi="ACaslonPro-Italic" w:cs="ACaslonPro-Italic"/>
          <w:i/>
          <w:iCs/>
          <w:sz w:val="19"/>
          <w:szCs w:val="19"/>
        </w:rPr>
        <w:t xml:space="preserve">Rules of Procedure (2005), </w:t>
      </w:r>
      <w:r w:rsidR="00214628">
        <w:rPr>
          <w:rFonts w:ascii="ACaslonPro-Regular" w:hAnsi="ACaslonPro-Regular" w:cs="ACaslonPro-Regular"/>
          <w:sz w:val="19"/>
          <w:szCs w:val="19"/>
        </w:rPr>
        <w:t>which</w:t>
      </w:r>
      <w:r>
        <w:rPr>
          <w:rFonts w:ascii="ACaslonPro-Regular" w:hAnsi="ACaslonPro-Regular" w:cs="ACaslonPro-Regular"/>
          <w:sz w:val="19"/>
          <w:szCs w:val="19"/>
        </w:rPr>
        <w:t xml:space="preserve"> </w:t>
      </w:r>
      <w:r w:rsidR="00214628">
        <w:rPr>
          <w:rFonts w:ascii="ACaslonPro-Regular" w:hAnsi="ACaslonPro-Regular" w:cs="ACaslonPro-Regular"/>
          <w:sz w:val="19"/>
          <w:szCs w:val="19"/>
        </w:rPr>
        <w:t>can be downloaded from the Review Board’s</w:t>
      </w:r>
      <w:r>
        <w:rPr>
          <w:rFonts w:ascii="ACaslonPro-Regular" w:hAnsi="ACaslonPro-Regular" w:cs="ACaslonPro-Regular"/>
          <w:sz w:val="19"/>
          <w:szCs w:val="19"/>
        </w:rPr>
        <w:t xml:space="preserve"> </w:t>
      </w:r>
      <w:r w:rsidR="00214628">
        <w:rPr>
          <w:rFonts w:ascii="ACaslonPro-Regular" w:hAnsi="ACaslonPro-Regular" w:cs="ACaslonPro-Regular"/>
          <w:sz w:val="19"/>
          <w:szCs w:val="19"/>
        </w:rPr>
        <w:t xml:space="preserve">website: </w:t>
      </w:r>
      <w:r w:rsidR="00214628">
        <w:rPr>
          <w:rFonts w:ascii="ACaslonPro-Bold" w:hAnsi="ACaslonPro-Bold" w:cs="ACaslonPro-Bold"/>
          <w:b/>
          <w:bCs/>
          <w:sz w:val="19"/>
          <w:szCs w:val="19"/>
        </w:rPr>
        <w:t>reviewboard.ca</w:t>
      </w:r>
    </w:p>
    <w:p w:rsidR="00B95A95" w:rsidRDefault="00B95A95" w:rsidP="00214628">
      <w:pPr>
        <w:autoSpaceDE w:val="0"/>
        <w:autoSpaceDN w:val="0"/>
        <w:adjustRightInd w:val="0"/>
        <w:spacing w:after="0" w:line="240" w:lineRule="auto"/>
        <w:rPr>
          <w:rFonts w:ascii="ACaslonPro-Bold" w:hAnsi="ACaslonPro-Bold" w:cs="ACaslonPro-Bold"/>
          <w:b/>
          <w:bCs/>
          <w:sz w:val="19"/>
          <w:szCs w:val="19"/>
        </w:rPr>
      </w:pPr>
    </w:p>
    <w:p w:rsidR="00214628" w:rsidRDefault="00214628" w:rsidP="00214628">
      <w:pPr>
        <w:autoSpaceDE w:val="0"/>
        <w:autoSpaceDN w:val="0"/>
        <w:adjustRightInd w:val="0"/>
        <w:spacing w:after="0" w:line="240" w:lineRule="auto"/>
        <w:rPr>
          <w:rFonts w:ascii="ACaslonPro-Bold" w:hAnsi="ACaslonPro-Bold" w:cs="ACaslonPro-Bold"/>
          <w:b/>
          <w:bCs/>
          <w:sz w:val="19"/>
          <w:szCs w:val="19"/>
        </w:rPr>
      </w:pPr>
      <w:r>
        <w:rPr>
          <w:rFonts w:ascii="ACaslonPro-Bold" w:hAnsi="ACaslonPro-Bold" w:cs="ACaslonPro-Bold"/>
          <w:b/>
          <w:bCs/>
          <w:sz w:val="19"/>
          <w:szCs w:val="19"/>
        </w:rPr>
        <w:t>For further information, contact:</w:t>
      </w:r>
    </w:p>
    <w:p w:rsidR="00214628" w:rsidRDefault="00214628" w:rsidP="00214628">
      <w:pPr>
        <w:autoSpaceDE w:val="0"/>
        <w:autoSpaceDN w:val="0"/>
        <w:adjustRightInd w:val="0"/>
        <w:spacing w:after="0" w:line="240" w:lineRule="auto"/>
        <w:rPr>
          <w:rFonts w:ascii="ACaslonPro-Regular" w:hAnsi="ACaslonPro-Regular" w:cs="ACaslonPro-Regular"/>
          <w:sz w:val="19"/>
          <w:szCs w:val="19"/>
        </w:rPr>
      </w:pPr>
      <w:r>
        <w:rPr>
          <w:rFonts w:ascii="ACaslonPro-Regular" w:hAnsi="ACaslonPro-Regular" w:cs="ACaslonPro-Regular"/>
          <w:sz w:val="19"/>
          <w:szCs w:val="19"/>
        </w:rPr>
        <w:t>Tawanis Testart, Environmental Assessment O</w:t>
      </w:r>
      <w:r w:rsidR="00B95A95">
        <w:rPr>
          <w:rFonts w:ascii="ACaslonPro-Regular" w:hAnsi="ACaslonPro-Regular" w:cs="ACaslonPro-Regular"/>
          <w:sz w:val="19"/>
          <w:szCs w:val="19"/>
        </w:rPr>
        <w:t>ffi</w:t>
      </w:r>
      <w:r>
        <w:rPr>
          <w:rFonts w:ascii="ACaslonPro-Regular" w:hAnsi="ACaslonPro-Regular" w:cs="ACaslonPro-Regular"/>
          <w:sz w:val="19"/>
          <w:szCs w:val="19"/>
        </w:rPr>
        <w:t>cer</w:t>
      </w:r>
    </w:p>
    <w:p w:rsidR="00214628" w:rsidRDefault="00214628" w:rsidP="00214628">
      <w:pPr>
        <w:autoSpaceDE w:val="0"/>
        <w:autoSpaceDN w:val="0"/>
        <w:adjustRightInd w:val="0"/>
        <w:spacing w:after="0" w:line="240" w:lineRule="auto"/>
        <w:rPr>
          <w:rFonts w:ascii="ACaslonPro-Regular" w:hAnsi="ACaslonPro-Regular" w:cs="ACaslonPro-Regular"/>
          <w:sz w:val="19"/>
          <w:szCs w:val="19"/>
        </w:rPr>
      </w:pPr>
      <w:r>
        <w:rPr>
          <w:rFonts w:ascii="ACaslonPro-Regular" w:hAnsi="ACaslonPro-Regular" w:cs="ACaslonPro-Regular"/>
          <w:sz w:val="19"/>
          <w:szCs w:val="19"/>
        </w:rPr>
        <w:t>Mackenzie Valley Environmental Impact</w:t>
      </w:r>
      <w:r w:rsidR="00B95A95">
        <w:rPr>
          <w:rFonts w:ascii="ACaslonPro-Regular" w:hAnsi="ACaslonPro-Regular" w:cs="ACaslonPro-Regular"/>
          <w:sz w:val="19"/>
          <w:szCs w:val="19"/>
        </w:rPr>
        <w:t xml:space="preserve"> </w:t>
      </w:r>
      <w:r>
        <w:rPr>
          <w:rFonts w:ascii="ACaslonPro-Regular" w:hAnsi="ACaslonPro-Regular" w:cs="ACaslonPro-Regular"/>
          <w:sz w:val="19"/>
          <w:szCs w:val="19"/>
        </w:rPr>
        <w:t>Review Board</w:t>
      </w:r>
    </w:p>
    <w:p w:rsidR="00214628" w:rsidRDefault="00214628" w:rsidP="00214628">
      <w:pPr>
        <w:autoSpaceDE w:val="0"/>
        <w:autoSpaceDN w:val="0"/>
        <w:adjustRightInd w:val="0"/>
        <w:spacing w:after="0" w:line="240" w:lineRule="auto"/>
        <w:rPr>
          <w:rFonts w:ascii="ACaslonPro-Regular" w:hAnsi="ACaslonPro-Regular" w:cs="ACaslonPro-Regular"/>
          <w:sz w:val="19"/>
          <w:szCs w:val="19"/>
        </w:rPr>
      </w:pPr>
      <w:r>
        <w:rPr>
          <w:rFonts w:ascii="ACaslonPro-Regular" w:hAnsi="ACaslonPro-Regular" w:cs="ACaslonPro-Regular"/>
          <w:sz w:val="19"/>
          <w:szCs w:val="19"/>
        </w:rPr>
        <w:t>Box 938, Suite 200 Scotia Centre, 5102 50</w:t>
      </w:r>
      <w:r>
        <w:rPr>
          <w:rFonts w:ascii="ACaslonPro-Regular" w:hAnsi="ACaslonPro-Regular" w:cs="ACaslonPro-Regular"/>
          <w:sz w:val="11"/>
          <w:szCs w:val="11"/>
        </w:rPr>
        <w:t xml:space="preserve">th </w:t>
      </w:r>
      <w:r>
        <w:rPr>
          <w:rFonts w:ascii="ACaslonPro-Regular" w:hAnsi="ACaslonPro-Regular" w:cs="ACaslonPro-Regular"/>
          <w:sz w:val="19"/>
          <w:szCs w:val="19"/>
        </w:rPr>
        <w:t>Avenue</w:t>
      </w:r>
    </w:p>
    <w:p w:rsidR="00214628" w:rsidRDefault="00214628" w:rsidP="00214628">
      <w:pPr>
        <w:autoSpaceDE w:val="0"/>
        <w:autoSpaceDN w:val="0"/>
        <w:adjustRightInd w:val="0"/>
        <w:spacing w:after="0" w:line="240" w:lineRule="auto"/>
        <w:rPr>
          <w:rFonts w:ascii="ACaslonPro-Regular" w:hAnsi="ACaslonPro-Regular" w:cs="ACaslonPro-Regular"/>
          <w:sz w:val="19"/>
          <w:szCs w:val="19"/>
        </w:rPr>
      </w:pPr>
      <w:r>
        <w:rPr>
          <w:rFonts w:ascii="ACaslonPro-Regular" w:hAnsi="ACaslonPro-Regular" w:cs="ACaslonPro-Regular"/>
          <w:sz w:val="19"/>
          <w:szCs w:val="19"/>
        </w:rPr>
        <w:t>Yellowknife, NT X1A 2N7</w:t>
      </w:r>
    </w:p>
    <w:p w:rsidR="00214628" w:rsidRDefault="00214628" w:rsidP="00214628">
      <w:pPr>
        <w:autoSpaceDE w:val="0"/>
        <w:autoSpaceDN w:val="0"/>
        <w:adjustRightInd w:val="0"/>
        <w:spacing w:after="0" w:line="240" w:lineRule="auto"/>
        <w:rPr>
          <w:rFonts w:ascii="ACaslonPro-Regular" w:hAnsi="ACaslonPro-Regular" w:cs="ACaslonPro-Regular"/>
          <w:sz w:val="19"/>
          <w:szCs w:val="19"/>
        </w:rPr>
      </w:pPr>
      <w:r>
        <w:rPr>
          <w:rFonts w:ascii="ACaslonPro-Bold" w:hAnsi="ACaslonPro-Bold" w:cs="ACaslonPro-Bold"/>
          <w:b/>
          <w:bCs/>
          <w:sz w:val="19"/>
          <w:szCs w:val="19"/>
        </w:rPr>
        <w:t xml:space="preserve">Phone: </w:t>
      </w:r>
      <w:r>
        <w:rPr>
          <w:rFonts w:ascii="ACaslonPro-Regular" w:hAnsi="ACaslonPro-Regular" w:cs="ACaslonPro-Regular"/>
          <w:sz w:val="19"/>
          <w:szCs w:val="19"/>
        </w:rPr>
        <w:t>(867) 766-7050</w:t>
      </w:r>
    </w:p>
    <w:p w:rsidR="00214628" w:rsidRDefault="00214628" w:rsidP="00214628">
      <w:pPr>
        <w:autoSpaceDE w:val="0"/>
        <w:autoSpaceDN w:val="0"/>
        <w:adjustRightInd w:val="0"/>
        <w:spacing w:after="0" w:line="240" w:lineRule="auto"/>
        <w:rPr>
          <w:rFonts w:ascii="ACaslonPro-Regular" w:hAnsi="ACaslonPro-Regular" w:cs="ACaslonPro-Regular"/>
          <w:sz w:val="19"/>
          <w:szCs w:val="19"/>
        </w:rPr>
      </w:pPr>
      <w:r>
        <w:rPr>
          <w:rFonts w:ascii="ACaslonPro-Bold" w:hAnsi="ACaslonPro-Bold" w:cs="ACaslonPro-Bold"/>
          <w:b/>
          <w:bCs/>
          <w:sz w:val="19"/>
          <w:szCs w:val="19"/>
        </w:rPr>
        <w:t xml:space="preserve">Toll Free: </w:t>
      </w:r>
      <w:r>
        <w:rPr>
          <w:rFonts w:ascii="ACaslonPro-Regular" w:hAnsi="ACaslonPro-Regular" w:cs="ACaslonPro-Regular"/>
          <w:sz w:val="19"/>
          <w:szCs w:val="19"/>
        </w:rPr>
        <w:t>1-866-912-3472</w:t>
      </w:r>
    </w:p>
    <w:p w:rsidR="00214628" w:rsidRDefault="00214628" w:rsidP="00214628">
      <w:pPr>
        <w:autoSpaceDE w:val="0"/>
        <w:autoSpaceDN w:val="0"/>
        <w:adjustRightInd w:val="0"/>
        <w:spacing w:after="0" w:line="240" w:lineRule="auto"/>
        <w:rPr>
          <w:rFonts w:ascii="ACaslonPro-Regular" w:hAnsi="ACaslonPro-Regular" w:cs="ACaslonPro-Regular"/>
          <w:sz w:val="19"/>
          <w:szCs w:val="19"/>
        </w:rPr>
      </w:pPr>
      <w:r>
        <w:rPr>
          <w:rFonts w:ascii="ACaslonPro-Bold" w:hAnsi="ACaslonPro-Bold" w:cs="ACaslonPro-Bold"/>
          <w:b/>
          <w:bCs/>
          <w:sz w:val="19"/>
          <w:szCs w:val="19"/>
        </w:rPr>
        <w:t xml:space="preserve">Fax: </w:t>
      </w:r>
      <w:r>
        <w:rPr>
          <w:rFonts w:ascii="ACaslonPro-Regular" w:hAnsi="ACaslonPro-Regular" w:cs="ACaslonPro-Regular"/>
          <w:sz w:val="19"/>
          <w:szCs w:val="19"/>
        </w:rPr>
        <w:t>(867) 766-7074</w:t>
      </w:r>
    </w:p>
    <w:p w:rsidR="00FC1750" w:rsidRDefault="00214628" w:rsidP="00214628">
      <w:r>
        <w:rPr>
          <w:rFonts w:ascii="ACaslonPro-Bold" w:hAnsi="ACaslonPro-Bold" w:cs="ACaslonPro-Bold"/>
          <w:b/>
          <w:bCs/>
          <w:sz w:val="19"/>
          <w:szCs w:val="19"/>
        </w:rPr>
        <w:t xml:space="preserve">Email: </w:t>
      </w:r>
      <w:r>
        <w:rPr>
          <w:rFonts w:ascii="ACaslonPro-Regular" w:hAnsi="ACaslonPro-Regular" w:cs="ACaslonPro-Regular"/>
          <w:sz w:val="19"/>
          <w:szCs w:val="19"/>
        </w:rPr>
        <w:t>ttestart@reviewboard.ca</w:t>
      </w:r>
    </w:p>
    <w:sectPr w:rsidR="00FC1750" w:rsidSect="00FC17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LinotypeErgo-DemiBold">
    <w:panose1 w:val="00000000000000000000"/>
    <w:charset w:val="00"/>
    <w:family w:val="swiss"/>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Bold">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4628"/>
    <w:rsid w:val="00181934"/>
    <w:rsid w:val="002015FB"/>
    <w:rsid w:val="00214628"/>
    <w:rsid w:val="002C7139"/>
    <w:rsid w:val="00362E1C"/>
    <w:rsid w:val="004E1A6D"/>
    <w:rsid w:val="005A25AC"/>
    <w:rsid w:val="00660F02"/>
    <w:rsid w:val="0069698F"/>
    <w:rsid w:val="006C4C17"/>
    <w:rsid w:val="0079284F"/>
    <w:rsid w:val="00803754"/>
    <w:rsid w:val="008C20B7"/>
    <w:rsid w:val="00977E66"/>
    <w:rsid w:val="00A17874"/>
    <w:rsid w:val="00B9045C"/>
    <w:rsid w:val="00B95A95"/>
    <w:rsid w:val="00BC778E"/>
    <w:rsid w:val="00CB116F"/>
    <w:rsid w:val="00CD7A99"/>
    <w:rsid w:val="00FC1750"/>
    <w:rsid w:val="00FE78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Mackenzie Valley Environmental Impact Review Board</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2010-01-11T16:48:00Z</dcterms:created>
  <dcterms:modified xsi:type="dcterms:W3CDTF">2010-01-11T20:33:00Z</dcterms:modified>
</cp:coreProperties>
</file>