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9" w:rsidRDefault="00E253BA" w:rsidP="00BE0F09">
      <w:pPr>
        <w:pStyle w:val="Heading2"/>
        <w:spacing w:before="240" w:after="240" w:line="23" w:lineRule="atLeast"/>
        <w:jc w:val="center"/>
        <w:rPr>
          <w:rFonts w:ascii="Arial" w:hAnsi="Arial" w:cs="Arial"/>
          <w:caps/>
          <w:szCs w:val="23"/>
          <w:lang w:val="en-CA"/>
        </w:rPr>
      </w:pPr>
      <w:bookmarkStart w:id="0" w:name="_GoBack"/>
      <w:bookmarkEnd w:id="0"/>
      <w:r>
        <w:rPr>
          <w:rFonts w:ascii="Arial" w:hAnsi="Arial" w:cs="Arial"/>
          <w:caps/>
          <w:szCs w:val="23"/>
          <w:lang w:val="en-CA"/>
        </w:rPr>
        <w:t>EA SCOPING CONSIDERATIONS for the</w:t>
      </w:r>
    </w:p>
    <w:p w:rsidR="00DC47B9" w:rsidRDefault="00BE0F09" w:rsidP="00BE0F09">
      <w:pPr>
        <w:pStyle w:val="Heading2"/>
        <w:spacing w:before="240" w:after="240" w:line="23" w:lineRule="atLeast"/>
        <w:jc w:val="center"/>
        <w:rPr>
          <w:rFonts w:ascii="Arial" w:hAnsi="Arial" w:cs="Arial"/>
          <w:caps/>
          <w:szCs w:val="23"/>
          <w:lang w:val="en-CA"/>
        </w:rPr>
      </w:pPr>
      <w:r>
        <w:rPr>
          <w:rFonts w:ascii="Arial" w:hAnsi="Arial" w:cs="Arial"/>
          <w:caps/>
          <w:szCs w:val="23"/>
          <w:lang w:val="en-CA"/>
        </w:rPr>
        <w:t>Wrigley to dempster highway section of m</w:t>
      </w:r>
      <w:r w:rsidR="00315D97">
        <w:rPr>
          <w:rFonts w:ascii="Arial" w:hAnsi="Arial" w:cs="Arial"/>
          <w:caps/>
          <w:szCs w:val="23"/>
          <w:lang w:val="en-CA"/>
        </w:rPr>
        <w:t>VH</w:t>
      </w:r>
    </w:p>
    <w:p w:rsidR="00315D97" w:rsidRPr="00315D97" w:rsidRDefault="00315D97" w:rsidP="00315D97">
      <w:pPr>
        <w:rPr>
          <w:lang w:val="en-CA"/>
        </w:rPr>
      </w:pPr>
    </w:p>
    <w:p w:rsidR="00DC47B9" w:rsidRDefault="0075242C" w:rsidP="00DC47B9">
      <w:pPr>
        <w:pStyle w:val="ListParagraph"/>
        <w:numPr>
          <w:ilvl w:val="0"/>
          <w:numId w:val="1"/>
        </w:numPr>
        <w:spacing w:before="240" w:after="240" w:line="23" w:lineRule="atLeast"/>
        <w:jc w:val="both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szCs w:val="23"/>
        </w:rPr>
        <w:t>GNWT has consistently advocated to the federal government that a</w:t>
      </w:r>
      <w:r w:rsidR="00DC47B9">
        <w:rPr>
          <w:rFonts w:ascii="Arial" w:hAnsi="Arial" w:cs="Arial"/>
          <w:b/>
          <w:szCs w:val="23"/>
        </w:rPr>
        <w:t>n all-weather highway up the Mackenzie Valley to Tuktoyaktuk supports Canada’s sovereignty goals, resource development, and other economic opportunities.</w:t>
      </w:r>
    </w:p>
    <w:p w:rsidR="00DC47B9" w:rsidRDefault="00DC47B9" w:rsidP="00DC47B9">
      <w:pPr>
        <w:pStyle w:val="ListParagraph"/>
        <w:numPr>
          <w:ilvl w:val="0"/>
          <w:numId w:val="1"/>
        </w:numPr>
        <w:spacing w:before="240" w:after="240" w:line="23" w:lineRule="atLeast"/>
        <w:jc w:val="both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Planning the Mackenzie Valley Highway</w:t>
      </w:r>
      <w:r w:rsidR="00315D97">
        <w:rPr>
          <w:rFonts w:ascii="Arial" w:hAnsi="Arial" w:cs="Arial"/>
          <w:b/>
          <w:bCs/>
          <w:szCs w:val="23"/>
        </w:rPr>
        <w:t xml:space="preserve"> (MVH)</w:t>
      </w:r>
      <w:r>
        <w:rPr>
          <w:rFonts w:ascii="Arial" w:hAnsi="Arial" w:cs="Arial"/>
          <w:b/>
          <w:bCs/>
          <w:szCs w:val="23"/>
        </w:rPr>
        <w:t xml:space="preserve"> from Wrigley to </w:t>
      </w:r>
      <w:r w:rsidR="00E253BA">
        <w:rPr>
          <w:rFonts w:ascii="Arial" w:hAnsi="Arial" w:cs="Arial"/>
          <w:b/>
          <w:bCs/>
          <w:szCs w:val="23"/>
        </w:rPr>
        <w:t>Inuvik</w:t>
      </w:r>
      <w:r>
        <w:rPr>
          <w:rFonts w:ascii="Arial" w:hAnsi="Arial" w:cs="Arial"/>
          <w:b/>
          <w:bCs/>
          <w:szCs w:val="23"/>
        </w:rPr>
        <w:t xml:space="preserve"> remains a priority for the Department of Transportation.</w:t>
      </w:r>
    </w:p>
    <w:p w:rsidR="0075242C" w:rsidRDefault="0075242C" w:rsidP="00DC47B9">
      <w:pPr>
        <w:pStyle w:val="ListParagraph"/>
        <w:numPr>
          <w:ilvl w:val="0"/>
          <w:numId w:val="1"/>
        </w:numPr>
        <w:spacing w:before="240" w:after="240" w:line="23" w:lineRule="atLeast"/>
        <w:jc w:val="both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 xml:space="preserve">Recent </w:t>
      </w:r>
      <w:r w:rsidR="00BE0F09">
        <w:rPr>
          <w:rFonts w:ascii="Arial" w:hAnsi="Arial" w:cs="Arial"/>
          <w:b/>
          <w:bCs/>
          <w:szCs w:val="23"/>
        </w:rPr>
        <w:t xml:space="preserve">oil and gas </w:t>
      </w:r>
      <w:r>
        <w:rPr>
          <w:rFonts w:ascii="Arial" w:hAnsi="Arial" w:cs="Arial"/>
          <w:b/>
          <w:bCs/>
          <w:szCs w:val="23"/>
        </w:rPr>
        <w:t xml:space="preserve">activity </w:t>
      </w:r>
      <w:r w:rsidR="00BE0F09">
        <w:rPr>
          <w:rFonts w:ascii="Arial" w:hAnsi="Arial" w:cs="Arial"/>
          <w:b/>
          <w:bCs/>
          <w:szCs w:val="23"/>
        </w:rPr>
        <w:t xml:space="preserve">in the Sahtu </w:t>
      </w:r>
      <w:r>
        <w:rPr>
          <w:rFonts w:ascii="Arial" w:hAnsi="Arial" w:cs="Arial"/>
          <w:b/>
          <w:bCs/>
          <w:szCs w:val="23"/>
        </w:rPr>
        <w:t xml:space="preserve">and problems related to the current winter road system has pushed the issue of completing the highway through to the Dempster Highway </w:t>
      </w:r>
      <w:r w:rsidR="00BE0F09">
        <w:rPr>
          <w:rFonts w:ascii="Arial" w:hAnsi="Arial" w:cs="Arial"/>
          <w:b/>
          <w:bCs/>
          <w:szCs w:val="23"/>
        </w:rPr>
        <w:t>higher on the GNWT’s agenda.</w:t>
      </w:r>
    </w:p>
    <w:p w:rsidR="00DC47B9" w:rsidRPr="00E253BA" w:rsidRDefault="00DC47B9" w:rsidP="00E253BA">
      <w:pPr>
        <w:pStyle w:val="ListParagraph"/>
        <w:numPr>
          <w:ilvl w:val="0"/>
          <w:numId w:val="2"/>
        </w:numPr>
        <w:spacing w:before="240" w:after="240" w:line="23" w:lineRule="atLeast"/>
        <w:ind w:hanging="270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 xml:space="preserve">Stage </w:t>
      </w:r>
      <w:proofErr w:type="gramStart"/>
      <w:r>
        <w:rPr>
          <w:rFonts w:ascii="Arial" w:hAnsi="Arial" w:cs="Arial"/>
          <w:b/>
          <w:szCs w:val="23"/>
        </w:rPr>
        <w:t xml:space="preserve">1 </w:t>
      </w:r>
      <w:r w:rsidR="00E253BA">
        <w:rPr>
          <w:rFonts w:ascii="Arial" w:hAnsi="Arial" w:cs="Arial"/>
          <w:b/>
          <w:szCs w:val="23"/>
        </w:rPr>
        <w:t xml:space="preserve"> -</w:t>
      </w:r>
      <w:proofErr w:type="gramEnd"/>
      <w:r w:rsidR="00E253BA">
        <w:rPr>
          <w:rFonts w:ascii="Arial" w:hAnsi="Arial" w:cs="Arial"/>
          <w:b/>
          <w:szCs w:val="23"/>
        </w:rPr>
        <w:t xml:space="preserve"> </w:t>
      </w:r>
      <w:r w:rsidRPr="00E253BA">
        <w:rPr>
          <w:rFonts w:ascii="Arial" w:hAnsi="Arial" w:cs="Arial"/>
          <w:b/>
          <w:szCs w:val="23"/>
        </w:rPr>
        <w:t xml:space="preserve">Completion of the 4 PDRs represents a significant step forward in planning and helps the GNWT to engage the federal government in discussions on funding for additional planning activities and eventual construction. </w:t>
      </w:r>
    </w:p>
    <w:p w:rsidR="00DC47B9" w:rsidRPr="00E253BA" w:rsidRDefault="00E253BA" w:rsidP="00DC47B9">
      <w:pPr>
        <w:pStyle w:val="ListParagraph"/>
        <w:numPr>
          <w:ilvl w:val="0"/>
          <w:numId w:val="2"/>
        </w:numPr>
        <w:spacing w:before="240" w:after="240" w:line="23" w:lineRule="atLeast"/>
        <w:ind w:hanging="270"/>
        <w:jc w:val="both"/>
        <w:rPr>
          <w:rFonts w:ascii="Arial" w:hAnsi="Arial" w:cs="Arial"/>
          <w:szCs w:val="23"/>
        </w:rPr>
      </w:pPr>
      <w:r w:rsidRPr="00E253BA">
        <w:rPr>
          <w:rFonts w:ascii="Arial" w:hAnsi="Arial" w:cs="Arial"/>
          <w:b/>
          <w:szCs w:val="23"/>
        </w:rPr>
        <w:t xml:space="preserve">Stage 2 - </w:t>
      </w:r>
      <w:r w:rsidR="00DC47B9" w:rsidRPr="00E253BA">
        <w:rPr>
          <w:rFonts w:ascii="Arial" w:hAnsi="Arial" w:cs="Arial"/>
          <w:b/>
          <w:szCs w:val="23"/>
        </w:rPr>
        <w:t>Planning Activity has been initiated</w:t>
      </w:r>
      <w:r w:rsidR="003121EE">
        <w:rPr>
          <w:rFonts w:ascii="Arial" w:hAnsi="Arial" w:cs="Arial"/>
          <w:b/>
          <w:szCs w:val="23"/>
        </w:rPr>
        <w:t xml:space="preserve"> by way of referral to environmental assessment</w:t>
      </w:r>
      <w:r w:rsidR="00DC47B9" w:rsidRPr="00E253BA">
        <w:rPr>
          <w:rFonts w:ascii="Arial" w:hAnsi="Arial" w:cs="Arial"/>
          <w:b/>
          <w:szCs w:val="23"/>
        </w:rPr>
        <w:t xml:space="preserve">. To </w:t>
      </w:r>
      <w:r w:rsidR="003121EE">
        <w:rPr>
          <w:rFonts w:ascii="Arial" w:hAnsi="Arial" w:cs="Arial"/>
          <w:b/>
          <w:szCs w:val="23"/>
        </w:rPr>
        <w:t xml:space="preserve">provide certainty on the </w:t>
      </w:r>
      <w:r w:rsidR="00DC47B9" w:rsidRPr="00E253BA">
        <w:rPr>
          <w:rFonts w:ascii="Arial" w:hAnsi="Arial" w:cs="Arial"/>
          <w:b/>
          <w:szCs w:val="23"/>
        </w:rPr>
        <w:t>assessment process</w:t>
      </w:r>
      <w:r w:rsidR="003121EE">
        <w:rPr>
          <w:rFonts w:ascii="Arial" w:hAnsi="Arial" w:cs="Arial"/>
          <w:b/>
          <w:szCs w:val="23"/>
        </w:rPr>
        <w:t>,</w:t>
      </w:r>
      <w:r w:rsidR="00DC47B9" w:rsidRPr="00E253BA">
        <w:rPr>
          <w:rFonts w:ascii="Arial" w:hAnsi="Arial" w:cs="Arial"/>
          <w:b/>
          <w:szCs w:val="23"/>
        </w:rPr>
        <w:t xml:space="preserve"> DOT on February 08, 2013 requested the application be referred to environmental assessment under Section 126 (2) of the Mackenzie Valley Resource Management Act.</w:t>
      </w:r>
    </w:p>
    <w:p w:rsidR="00E253BA" w:rsidRPr="00E253BA" w:rsidRDefault="00E253BA" w:rsidP="00DC47B9">
      <w:pPr>
        <w:pStyle w:val="ListParagraph"/>
        <w:numPr>
          <w:ilvl w:val="0"/>
          <w:numId w:val="2"/>
        </w:numPr>
        <w:spacing w:before="240" w:after="240" w:line="23" w:lineRule="atLeast"/>
        <w:ind w:hanging="27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To assist with an efficient scoping process the DOT prepared the Environmental Scoping Document which summarizes the contents of the 4 regional PDRs, providing:</w:t>
      </w:r>
    </w:p>
    <w:p w:rsidR="00E253BA" w:rsidRPr="00E253BA" w:rsidRDefault="00E253BA" w:rsidP="00E253BA">
      <w:pPr>
        <w:pStyle w:val="ListParagraph"/>
        <w:numPr>
          <w:ilvl w:val="1"/>
          <w:numId w:val="2"/>
        </w:numPr>
        <w:spacing w:before="240" w:after="240" w:line="23" w:lineRule="atLeas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The scope of the proposed development</w:t>
      </w:r>
    </w:p>
    <w:p w:rsidR="00E253BA" w:rsidRPr="00E253BA" w:rsidRDefault="00E253BA" w:rsidP="00E253BA">
      <w:pPr>
        <w:pStyle w:val="ListParagraph"/>
        <w:numPr>
          <w:ilvl w:val="1"/>
          <w:numId w:val="2"/>
        </w:numPr>
        <w:spacing w:before="240" w:after="240" w:line="23" w:lineRule="atLeas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Summary of public input received during preparation of the PDRs</w:t>
      </w:r>
    </w:p>
    <w:p w:rsidR="00E253BA" w:rsidRPr="00E253BA" w:rsidRDefault="00E253BA" w:rsidP="00E253BA">
      <w:pPr>
        <w:pStyle w:val="ListParagraph"/>
        <w:numPr>
          <w:ilvl w:val="1"/>
          <w:numId w:val="2"/>
        </w:numPr>
        <w:spacing w:before="240" w:after="240" w:line="23" w:lineRule="atLeas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 xml:space="preserve">Potential focus of the </w:t>
      </w:r>
      <w:r w:rsidR="003121EE">
        <w:rPr>
          <w:rFonts w:ascii="Arial" w:hAnsi="Arial" w:cs="Arial"/>
          <w:b/>
          <w:szCs w:val="23"/>
        </w:rPr>
        <w:t xml:space="preserve">environmental </w:t>
      </w:r>
      <w:r>
        <w:rPr>
          <w:rFonts w:ascii="Arial" w:hAnsi="Arial" w:cs="Arial"/>
          <w:b/>
          <w:szCs w:val="23"/>
        </w:rPr>
        <w:t xml:space="preserve">assessment </w:t>
      </w:r>
    </w:p>
    <w:p w:rsidR="00D602A6" w:rsidRDefault="00D602A6" w:rsidP="00E253BA">
      <w:pPr>
        <w:pStyle w:val="ListParagraph"/>
        <w:numPr>
          <w:ilvl w:val="0"/>
          <w:numId w:val="2"/>
        </w:numPr>
        <w:spacing w:before="240" w:after="240" w:line="23" w:lineRule="atLeast"/>
        <w:ind w:hanging="270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 xml:space="preserve">Considering the amount of work completed on the PDRs, including 3 engagement sessions in each </w:t>
      </w:r>
      <w:r w:rsidR="003121EE">
        <w:rPr>
          <w:rFonts w:ascii="Arial" w:hAnsi="Arial" w:cs="Arial"/>
          <w:b/>
          <w:szCs w:val="23"/>
        </w:rPr>
        <w:t xml:space="preserve">affected </w:t>
      </w:r>
      <w:r>
        <w:rPr>
          <w:rFonts w:ascii="Arial" w:hAnsi="Arial" w:cs="Arial"/>
          <w:b/>
          <w:szCs w:val="23"/>
        </w:rPr>
        <w:t>community</w:t>
      </w:r>
      <w:r w:rsidR="003121EE">
        <w:rPr>
          <w:rFonts w:ascii="Arial" w:hAnsi="Arial" w:cs="Arial"/>
          <w:b/>
          <w:szCs w:val="23"/>
        </w:rPr>
        <w:t xml:space="preserve">, as well as information available from the </w:t>
      </w:r>
      <w:r>
        <w:rPr>
          <w:rFonts w:ascii="Arial" w:hAnsi="Arial" w:cs="Arial"/>
          <w:b/>
          <w:szCs w:val="23"/>
        </w:rPr>
        <w:t xml:space="preserve">environmental review of the Mackenzie Gas Project, DOT is encouraging the MVEIRB to </w:t>
      </w:r>
      <w:r w:rsidR="003121EE">
        <w:rPr>
          <w:rFonts w:ascii="Arial" w:hAnsi="Arial" w:cs="Arial"/>
          <w:b/>
          <w:szCs w:val="23"/>
        </w:rPr>
        <w:t>consider</w:t>
      </w:r>
      <w:r>
        <w:rPr>
          <w:rFonts w:ascii="Arial" w:hAnsi="Arial" w:cs="Arial"/>
          <w:b/>
          <w:szCs w:val="23"/>
        </w:rPr>
        <w:t>:</w:t>
      </w:r>
    </w:p>
    <w:p w:rsidR="00D602A6" w:rsidRDefault="003121EE" w:rsidP="00D602A6">
      <w:pPr>
        <w:pStyle w:val="ListParagraph"/>
        <w:numPr>
          <w:ilvl w:val="1"/>
          <w:numId w:val="2"/>
        </w:numPr>
        <w:spacing w:before="240" w:after="240" w:line="23" w:lineRule="atLeast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Referring to</w:t>
      </w:r>
      <w:r w:rsidR="00D602A6">
        <w:rPr>
          <w:rFonts w:ascii="Arial" w:hAnsi="Arial" w:cs="Arial"/>
          <w:b/>
          <w:szCs w:val="23"/>
        </w:rPr>
        <w:t xml:space="preserve"> the Scoping document  and PDRs for much of the background information</w:t>
      </w:r>
    </w:p>
    <w:p w:rsidR="00D602A6" w:rsidRDefault="003121EE" w:rsidP="00D602A6">
      <w:pPr>
        <w:pStyle w:val="ListParagraph"/>
        <w:numPr>
          <w:ilvl w:val="1"/>
          <w:numId w:val="2"/>
        </w:numPr>
        <w:spacing w:before="240" w:after="240" w:line="23" w:lineRule="atLeast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lastRenderedPageBreak/>
        <w:t xml:space="preserve">Limiting </w:t>
      </w:r>
      <w:r w:rsidR="00D602A6">
        <w:rPr>
          <w:rFonts w:ascii="Arial" w:hAnsi="Arial" w:cs="Arial"/>
          <w:b/>
          <w:szCs w:val="23"/>
        </w:rPr>
        <w:t xml:space="preserve">public scoping meetings, </w:t>
      </w:r>
      <w:r>
        <w:rPr>
          <w:rFonts w:ascii="Arial" w:hAnsi="Arial" w:cs="Arial"/>
          <w:b/>
          <w:szCs w:val="23"/>
        </w:rPr>
        <w:t xml:space="preserve">and </w:t>
      </w:r>
      <w:r w:rsidR="00D602A6">
        <w:rPr>
          <w:rFonts w:ascii="Arial" w:hAnsi="Arial" w:cs="Arial"/>
          <w:b/>
          <w:szCs w:val="23"/>
        </w:rPr>
        <w:t xml:space="preserve">possibly canvassing the public and community organizations </w:t>
      </w:r>
      <w:r>
        <w:rPr>
          <w:rFonts w:ascii="Arial" w:hAnsi="Arial" w:cs="Arial"/>
          <w:b/>
          <w:szCs w:val="23"/>
        </w:rPr>
        <w:t xml:space="preserve">whether </w:t>
      </w:r>
      <w:r w:rsidR="00D602A6">
        <w:rPr>
          <w:rFonts w:ascii="Arial" w:hAnsi="Arial" w:cs="Arial"/>
          <w:b/>
          <w:szCs w:val="23"/>
        </w:rPr>
        <w:t xml:space="preserve">public sessions are warranted or </w:t>
      </w:r>
      <w:r>
        <w:rPr>
          <w:rFonts w:ascii="Arial" w:hAnsi="Arial" w:cs="Arial"/>
          <w:b/>
          <w:szCs w:val="23"/>
        </w:rPr>
        <w:t xml:space="preserve">whether </w:t>
      </w:r>
      <w:r w:rsidR="00D602A6">
        <w:rPr>
          <w:rFonts w:ascii="Arial" w:hAnsi="Arial" w:cs="Arial"/>
          <w:b/>
          <w:szCs w:val="23"/>
        </w:rPr>
        <w:t>a written scoping process might be more efficient</w:t>
      </w:r>
    </w:p>
    <w:p w:rsidR="00D602A6" w:rsidRPr="00D602A6" w:rsidRDefault="003121EE" w:rsidP="00D602A6">
      <w:pPr>
        <w:pStyle w:val="ListParagraph"/>
        <w:numPr>
          <w:ilvl w:val="1"/>
          <w:numId w:val="2"/>
        </w:numPr>
        <w:spacing w:before="240" w:after="240" w:line="23" w:lineRule="atLeast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Requesting the DOT to provide</w:t>
      </w:r>
      <w:r w:rsidR="00D602A6">
        <w:rPr>
          <w:rFonts w:ascii="Arial" w:hAnsi="Arial" w:cs="Arial"/>
          <w:b/>
          <w:szCs w:val="23"/>
        </w:rPr>
        <w:t xml:space="preserve"> a </w:t>
      </w:r>
      <w:r>
        <w:rPr>
          <w:rFonts w:ascii="Arial" w:hAnsi="Arial" w:cs="Arial"/>
          <w:b/>
          <w:szCs w:val="23"/>
        </w:rPr>
        <w:t xml:space="preserve">preliminary </w:t>
      </w:r>
      <w:r w:rsidR="00D602A6">
        <w:rPr>
          <w:rFonts w:ascii="Arial" w:hAnsi="Arial" w:cs="Arial"/>
          <w:b/>
          <w:szCs w:val="23"/>
        </w:rPr>
        <w:t>draft Terms of Reference to use to focus the scoping process</w:t>
      </w:r>
    </w:p>
    <w:p w:rsidR="00DC47B9" w:rsidRDefault="00D602A6" w:rsidP="00E253BA">
      <w:pPr>
        <w:pStyle w:val="ListParagraph"/>
        <w:numPr>
          <w:ilvl w:val="0"/>
          <w:numId w:val="2"/>
        </w:numPr>
        <w:spacing w:before="240" w:after="240" w:line="23" w:lineRule="atLeast"/>
        <w:ind w:hanging="270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The DOTs involvement in the</w:t>
      </w:r>
      <w:r w:rsidR="00DC47B9">
        <w:rPr>
          <w:rFonts w:ascii="Arial" w:hAnsi="Arial" w:cs="Arial"/>
          <w:b/>
          <w:szCs w:val="23"/>
        </w:rPr>
        <w:t xml:space="preserve"> environmental assessment process will require additional studies and consultations</w:t>
      </w:r>
      <w:r w:rsidR="00E253BA">
        <w:rPr>
          <w:rFonts w:ascii="Arial" w:hAnsi="Arial" w:cs="Arial"/>
          <w:b/>
          <w:szCs w:val="23"/>
        </w:rPr>
        <w:t xml:space="preserve"> </w:t>
      </w:r>
      <w:r w:rsidR="003121EE">
        <w:rPr>
          <w:rFonts w:ascii="Arial" w:hAnsi="Arial" w:cs="Arial"/>
          <w:b/>
          <w:szCs w:val="23"/>
        </w:rPr>
        <w:t>to be undertaken. DOT will commence these studies once a Terms of Reference is issued and there is certainty in MVEIRB’s process for the environmental assessment.</w:t>
      </w:r>
    </w:p>
    <w:p w:rsidR="00257C94" w:rsidRDefault="00257C94"/>
    <w:sectPr w:rsidR="00257C94" w:rsidSect="00AB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825"/>
    <w:multiLevelType w:val="hybridMultilevel"/>
    <w:tmpl w:val="C4E28C7C"/>
    <w:lvl w:ilvl="0" w:tplc="B8B234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B9"/>
    <w:rsid w:val="00117D14"/>
    <w:rsid w:val="00257C94"/>
    <w:rsid w:val="003121EE"/>
    <w:rsid w:val="00315D97"/>
    <w:rsid w:val="003D10DF"/>
    <w:rsid w:val="00453BE7"/>
    <w:rsid w:val="0067035F"/>
    <w:rsid w:val="0075242C"/>
    <w:rsid w:val="00912E8E"/>
    <w:rsid w:val="00A84EA6"/>
    <w:rsid w:val="00AB7932"/>
    <w:rsid w:val="00B4526D"/>
    <w:rsid w:val="00BE0F09"/>
    <w:rsid w:val="00D602A6"/>
    <w:rsid w:val="00DC47B9"/>
    <w:rsid w:val="00E253BA"/>
    <w:rsid w:val="00F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C47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C4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47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60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C47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C4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47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60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DAC1C025</Template>
  <TotalTime>6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Stevens</dc:creator>
  <cp:lastModifiedBy>Simon Toogood</cp:lastModifiedBy>
  <cp:revision>2</cp:revision>
  <cp:lastPrinted>2013-03-15T20:32:00Z</cp:lastPrinted>
  <dcterms:created xsi:type="dcterms:W3CDTF">2013-05-31T22:18:00Z</dcterms:created>
  <dcterms:modified xsi:type="dcterms:W3CDTF">2013-05-31T22:18:00Z</dcterms:modified>
</cp:coreProperties>
</file>